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863B" w14:textId="52705DFF" w:rsidR="002C2DFA" w:rsidRDefault="002C2DFA" w:rsidP="002C2DFA">
      <w:pPr>
        <w:jc w:val="center"/>
        <w:rPr>
          <w:b/>
          <w:bCs/>
        </w:rPr>
      </w:pPr>
      <w:r>
        <w:rPr>
          <w:b/>
          <w:bCs/>
        </w:rPr>
        <w:t xml:space="preserve">Synthèse des </w:t>
      </w:r>
      <w:r w:rsidR="00052BC3" w:rsidRPr="00052BC3">
        <w:rPr>
          <w:b/>
          <w:bCs/>
        </w:rPr>
        <w:t xml:space="preserve">évolutions </w:t>
      </w:r>
      <w:r>
        <w:rPr>
          <w:b/>
          <w:bCs/>
        </w:rPr>
        <w:t xml:space="preserve">principales </w:t>
      </w:r>
      <w:r w:rsidR="00052BC3" w:rsidRPr="00052BC3">
        <w:rPr>
          <w:b/>
          <w:bCs/>
        </w:rPr>
        <w:t>apportées aux statuts votés en octobre 2021</w:t>
      </w:r>
    </w:p>
    <w:p w14:paraId="52BE8D3A" w14:textId="4012E596" w:rsidR="0031276A" w:rsidRPr="00052BC3" w:rsidRDefault="00052BC3" w:rsidP="002C2DFA">
      <w:pPr>
        <w:jc w:val="center"/>
        <w:rPr>
          <w:b/>
          <w:bCs/>
        </w:rPr>
      </w:pPr>
      <w:r w:rsidRPr="00052BC3">
        <w:rPr>
          <w:b/>
          <w:bCs/>
        </w:rPr>
        <w:t>suite aux remarques du ministère de l’intérieur dans l</w:t>
      </w:r>
      <w:r w:rsidR="002C2DFA">
        <w:rPr>
          <w:b/>
          <w:bCs/>
        </w:rPr>
        <w:t>e</w:t>
      </w:r>
      <w:r w:rsidRPr="00052BC3">
        <w:rPr>
          <w:b/>
          <w:bCs/>
        </w:rPr>
        <w:t xml:space="preserve"> cadre du dépôt du dossier ARUP</w:t>
      </w:r>
    </w:p>
    <w:p w14:paraId="1F3D1555" w14:textId="0568249D" w:rsidR="00052BC3" w:rsidRDefault="00052BC3"/>
    <w:tbl>
      <w:tblPr>
        <w:tblStyle w:val="Grilledutableau"/>
        <w:tblW w:w="14885" w:type="dxa"/>
        <w:tblInd w:w="-289" w:type="dxa"/>
        <w:tblLook w:val="04A0" w:firstRow="1" w:lastRow="0" w:firstColumn="1" w:lastColumn="0" w:noHBand="0" w:noVBand="1"/>
      </w:tblPr>
      <w:tblGrid>
        <w:gridCol w:w="2034"/>
        <w:gridCol w:w="4375"/>
        <w:gridCol w:w="4382"/>
        <w:gridCol w:w="4094"/>
      </w:tblGrid>
      <w:tr w:rsidR="00052BC3" w14:paraId="6BAA6B75" w14:textId="22FFD3B8" w:rsidTr="002C2DFA">
        <w:tc>
          <w:tcPr>
            <w:tcW w:w="2034" w:type="dxa"/>
          </w:tcPr>
          <w:p w14:paraId="1CBEC0EB" w14:textId="094F4EC3" w:rsidR="00052BC3" w:rsidRPr="00AC728D" w:rsidRDefault="00052BC3">
            <w:pPr>
              <w:rPr>
                <w:b/>
                <w:bCs/>
              </w:rPr>
            </w:pPr>
            <w:r w:rsidRPr="00AC728D">
              <w:rPr>
                <w:b/>
                <w:bCs/>
              </w:rPr>
              <w:t>Article</w:t>
            </w:r>
            <w:r w:rsidR="002C2DFA">
              <w:rPr>
                <w:b/>
                <w:bCs/>
              </w:rPr>
              <w:t>s</w:t>
            </w:r>
            <w:r w:rsidRPr="00AC728D">
              <w:rPr>
                <w:b/>
                <w:bCs/>
              </w:rPr>
              <w:t xml:space="preserve"> initia</w:t>
            </w:r>
            <w:r w:rsidR="002C2DFA">
              <w:rPr>
                <w:b/>
                <w:bCs/>
              </w:rPr>
              <w:t>ux</w:t>
            </w:r>
          </w:p>
          <w:p w14:paraId="1743F854" w14:textId="165D98F0" w:rsidR="00052BC3" w:rsidRPr="00AC728D" w:rsidRDefault="002C2DFA">
            <w:pPr>
              <w:rPr>
                <w:b/>
                <w:bCs/>
              </w:rPr>
            </w:pPr>
            <w:r w:rsidRPr="00AC728D">
              <w:rPr>
                <w:b/>
                <w:bCs/>
              </w:rPr>
              <w:t>Nouve</w:t>
            </w:r>
            <w:r>
              <w:rPr>
                <w:b/>
                <w:bCs/>
              </w:rPr>
              <w:t>aux</w:t>
            </w:r>
            <w:r w:rsidR="00052BC3" w:rsidRPr="00AC728D">
              <w:rPr>
                <w:b/>
                <w:bCs/>
              </w:rPr>
              <w:t xml:space="preserve"> article</w:t>
            </w:r>
            <w:r>
              <w:rPr>
                <w:b/>
                <w:bCs/>
              </w:rPr>
              <w:t>s</w:t>
            </w:r>
          </w:p>
        </w:tc>
        <w:tc>
          <w:tcPr>
            <w:tcW w:w="4375" w:type="dxa"/>
          </w:tcPr>
          <w:p w14:paraId="22138DBB" w14:textId="5D0155C3" w:rsidR="00052BC3" w:rsidRPr="00AC728D" w:rsidRDefault="00052BC3">
            <w:pPr>
              <w:rPr>
                <w:b/>
                <w:bCs/>
              </w:rPr>
            </w:pPr>
            <w:r w:rsidRPr="00AC728D">
              <w:rPr>
                <w:b/>
                <w:bCs/>
              </w:rPr>
              <w:t>Statuts octobre 2021</w:t>
            </w:r>
          </w:p>
        </w:tc>
        <w:tc>
          <w:tcPr>
            <w:tcW w:w="4382" w:type="dxa"/>
          </w:tcPr>
          <w:p w14:paraId="63310C1C" w14:textId="61099152" w:rsidR="00052BC3" w:rsidRPr="00AC728D" w:rsidRDefault="00052BC3">
            <w:pPr>
              <w:rPr>
                <w:b/>
                <w:bCs/>
              </w:rPr>
            </w:pPr>
            <w:r w:rsidRPr="00AC728D">
              <w:rPr>
                <w:b/>
                <w:bCs/>
              </w:rPr>
              <w:t>Statuts révisés soumis au vote</w:t>
            </w:r>
          </w:p>
        </w:tc>
        <w:tc>
          <w:tcPr>
            <w:tcW w:w="4094" w:type="dxa"/>
          </w:tcPr>
          <w:p w14:paraId="4B6A0C7D" w14:textId="00831A6A" w:rsidR="00052BC3" w:rsidRPr="00AC728D" w:rsidRDefault="00052BC3">
            <w:pPr>
              <w:rPr>
                <w:b/>
                <w:bCs/>
              </w:rPr>
            </w:pPr>
            <w:r w:rsidRPr="00AC728D">
              <w:rPr>
                <w:b/>
                <w:bCs/>
              </w:rPr>
              <w:t>commentaires</w:t>
            </w:r>
          </w:p>
        </w:tc>
      </w:tr>
      <w:tr w:rsidR="00052BC3" w14:paraId="07F304FD" w14:textId="3E6DFEA9" w:rsidTr="002C2DFA">
        <w:tc>
          <w:tcPr>
            <w:tcW w:w="2034" w:type="dxa"/>
          </w:tcPr>
          <w:p w14:paraId="4EF6FE72" w14:textId="77777777" w:rsidR="00052BC3" w:rsidRDefault="00052BC3">
            <w:r>
              <w:t>Article 1 : l’objet</w:t>
            </w:r>
          </w:p>
          <w:p w14:paraId="42C12654" w14:textId="77777777" w:rsidR="00052BC3" w:rsidRDefault="00052BC3"/>
          <w:p w14:paraId="763F8B3A" w14:textId="621AE846" w:rsidR="00052BC3" w:rsidRPr="00052BC3" w:rsidRDefault="00052BC3" w:rsidP="00052BC3">
            <w:pPr>
              <w:pStyle w:val="Titre1"/>
              <w:ind w:left="0" w:right="-36"/>
              <w:jc w:val="left"/>
              <w:outlineLvl w:val="0"/>
              <w:rPr>
                <w:rFonts w:ascii="Source Sans Pro" w:hAnsi="Source Sans Pro"/>
                <w:b w:val="0"/>
                <w:bCs w:val="0"/>
                <w:i/>
                <w:iCs/>
                <w:sz w:val="22"/>
                <w:szCs w:val="22"/>
              </w:rPr>
            </w:pPr>
            <w:r w:rsidRPr="00052BC3">
              <w:rPr>
                <w:b w:val="0"/>
                <w:bCs w:val="0"/>
                <w:i/>
                <w:iCs/>
              </w:rPr>
              <w:t>Article 1 :</w:t>
            </w:r>
            <w:r w:rsidRPr="00052BC3">
              <w:rPr>
                <w:rFonts w:ascii="Source Sans Pro" w:hAnsi="Source Sans Pro"/>
                <w:b w:val="0"/>
                <w:bCs w:val="0"/>
                <w:i/>
                <w:iCs/>
                <w:sz w:val="22"/>
                <w:szCs w:val="22"/>
              </w:rPr>
              <w:t xml:space="preserve"> Objet - Raison sociale et siège social</w:t>
            </w:r>
          </w:p>
          <w:p w14:paraId="2EF5FBB7" w14:textId="7ECD35D1" w:rsidR="00052BC3" w:rsidRPr="00052BC3" w:rsidRDefault="00052BC3">
            <w:pPr>
              <w:rPr>
                <w:i/>
                <w:iCs/>
              </w:rPr>
            </w:pPr>
            <w:r>
              <w:rPr>
                <w:i/>
                <w:iCs/>
              </w:rPr>
              <w:t xml:space="preserve"> </w:t>
            </w:r>
          </w:p>
        </w:tc>
        <w:tc>
          <w:tcPr>
            <w:tcW w:w="4375" w:type="dxa"/>
          </w:tcPr>
          <w:p w14:paraId="71A695DF" w14:textId="5E70C018" w:rsidR="00052BC3" w:rsidRDefault="00052BC3" w:rsidP="00052BC3">
            <w:pPr>
              <w:autoSpaceDE w:val="0"/>
              <w:autoSpaceDN w:val="0"/>
              <w:adjustRightInd w:val="0"/>
              <w:rPr>
                <w:rFonts w:ascii="CIDFont+F2" w:hAnsi="CIDFont+F2" w:cs="CIDFont+F2"/>
                <w:sz w:val="21"/>
                <w:szCs w:val="21"/>
              </w:rPr>
            </w:pPr>
            <w:r>
              <w:rPr>
                <w:rFonts w:ascii="CIDFont+F2" w:hAnsi="CIDFont+F2" w:cs="CIDFont+F2"/>
                <w:sz w:val="21"/>
                <w:szCs w:val="21"/>
              </w:rPr>
              <w:t>« a pour but de réunir et</w:t>
            </w:r>
          </w:p>
          <w:p w14:paraId="1ED06EB2" w14:textId="77777777" w:rsidR="00052BC3" w:rsidRDefault="00052BC3" w:rsidP="00052BC3">
            <w:pPr>
              <w:autoSpaceDE w:val="0"/>
              <w:autoSpaceDN w:val="0"/>
              <w:adjustRightInd w:val="0"/>
              <w:rPr>
                <w:rFonts w:ascii="CIDFont+F2" w:hAnsi="CIDFont+F2" w:cs="CIDFont+F2"/>
                <w:sz w:val="21"/>
                <w:szCs w:val="21"/>
              </w:rPr>
            </w:pPr>
            <w:r>
              <w:rPr>
                <w:rFonts w:ascii="CIDFont+F2" w:hAnsi="CIDFont+F2" w:cs="CIDFont+F2"/>
                <w:sz w:val="21"/>
                <w:szCs w:val="21"/>
              </w:rPr>
              <w:t>représenter toutes les personnes morales engagées en faveur de la promotion, l’accompagnement et la</w:t>
            </w:r>
          </w:p>
          <w:p w14:paraId="3D335EAF" w14:textId="77777777" w:rsidR="00052BC3" w:rsidRDefault="00052BC3" w:rsidP="00052BC3">
            <w:pPr>
              <w:autoSpaceDE w:val="0"/>
              <w:autoSpaceDN w:val="0"/>
              <w:adjustRightInd w:val="0"/>
              <w:rPr>
                <w:rFonts w:ascii="CIDFont+F2" w:hAnsi="CIDFont+F2" w:cs="CIDFont+F2"/>
                <w:sz w:val="21"/>
                <w:szCs w:val="21"/>
              </w:rPr>
            </w:pPr>
            <w:r>
              <w:rPr>
                <w:rFonts w:ascii="CIDFont+F2" w:hAnsi="CIDFont+F2" w:cs="CIDFont+F2"/>
                <w:sz w:val="21"/>
                <w:szCs w:val="21"/>
              </w:rPr>
              <w:t>mise en oeuvre de politiques globales de développement de l’arbre et la haie, dans une triple approche</w:t>
            </w:r>
          </w:p>
          <w:p w14:paraId="03E946D1" w14:textId="62E35ADF" w:rsidR="00052BC3" w:rsidRDefault="00052BC3" w:rsidP="00052BC3">
            <w:r>
              <w:rPr>
                <w:rFonts w:ascii="CIDFont+F2" w:hAnsi="CIDFont+F2" w:cs="CIDFont+F2"/>
                <w:sz w:val="21"/>
                <w:szCs w:val="21"/>
              </w:rPr>
              <w:t>agricole, environnementale et de développement rural . »</w:t>
            </w:r>
          </w:p>
        </w:tc>
        <w:tc>
          <w:tcPr>
            <w:tcW w:w="4382" w:type="dxa"/>
          </w:tcPr>
          <w:p w14:paraId="274E7534" w14:textId="301E7C8B" w:rsidR="00052BC3" w:rsidRDefault="00052BC3">
            <w:r>
              <w:t>« </w:t>
            </w:r>
            <w:r w:rsidRPr="00052BC3">
              <w:t>a  pour objet, de promouvoir, d’accompagner et mettre en œuvre des politiques globales de développement de l’arbre et de la haie dans tous les territoires, afin de répondre aux enjeux de transition agroécologique, de lutte contre l’effondrement de la biodiversité, et de résilience face à la crise climatique</w:t>
            </w:r>
            <w:r>
              <w:t> »</w:t>
            </w:r>
          </w:p>
        </w:tc>
        <w:tc>
          <w:tcPr>
            <w:tcW w:w="4094" w:type="dxa"/>
          </w:tcPr>
          <w:p w14:paraId="1CCF7EC6" w14:textId="10625A1E" w:rsidR="00052BC3" w:rsidRDefault="00052BC3" w:rsidP="00052BC3">
            <w:pPr>
              <w:autoSpaceDE w:val="0"/>
              <w:autoSpaceDN w:val="0"/>
              <w:adjustRightInd w:val="0"/>
            </w:pPr>
            <w:r w:rsidRPr="00052BC3">
              <w:rPr>
                <w:rFonts w:ascii="CIDFont+F2" w:hAnsi="CIDFont+F2" w:cs="CIDFont+F2"/>
                <w:sz w:val="21"/>
                <w:szCs w:val="21"/>
              </w:rPr>
              <w:t>Réunir et représenter des personnes n’est pas un objet d’intérêt général. Il s’agit d’un moyen pour agir.</w:t>
            </w:r>
          </w:p>
        </w:tc>
      </w:tr>
      <w:tr w:rsidR="00052BC3" w14:paraId="2F4327A5" w14:textId="5F3F428D" w:rsidTr="002C2DFA">
        <w:tc>
          <w:tcPr>
            <w:tcW w:w="2034" w:type="dxa"/>
          </w:tcPr>
          <w:p w14:paraId="2D8D6AA2" w14:textId="0621C087" w:rsidR="00052BC3" w:rsidRDefault="00052BC3">
            <w:r>
              <w:t>Article 2 : structure fédérative</w:t>
            </w:r>
          </w:p>
        </w:tc>
        <w:tc>
          <w:tcPr>
            <w:tcW w:w="4375" w:type="dxa"/>
          </w:tcPr>
          <w:p w14:paraId="5B1800EA" w14:textId="77777777" w:rsidR="00052BC3" w:rsidRDefault="00052BC3" w:rsidP="00052BC3">
            <w:pPr>
              <w:autoSpaceDE w:val="0"/>
              <w:autoSpaceDN w:val="0"/>
              <w:adjustRightInd w:val="0"/>
              <w:rPr>
                <w:rFonts w:ascii="CIDFont+F2" w:hAnsi="CIDFont+F2" w:cs="CIDFont+F2"/>
                <w:sz w:val="21"/>
                <w:szCs w:val="21"/>
              </w:rPr>
            </w:pPr>
            <w:r>
              <w:rPr>
                <w:rFonts w:ascii="CIDFont+F2" w:hAnsi="CIDFont+F2" w:cs="CIDFont+F2"/>
                <w:sz w:val="21"/>
                <w:szCs w:val="21"/>
              </w:rPr>
              <w:t>L’Afac-Agroforesteries structure le Réseau Afac en France, organisé en :</w:t>
            </w:r>
          </w:p>
          <w:p w14:paraId="42E80838" w14:textId="77777777" w:rsidR="00052BC3" w:rsidRDefault="00052BC3" w:rsidP="00052BC3">
            <w:pPr>
              <w:autoSpaceDE w:val="0"/>
              <w:autoSpaceDN w:val="0"/>
              <w:adjustRightInd w:val="0"/>
              <w:rPr>
                <w:rFonts w:ascii="CIDFont+F2" w:hAnsi="CIDFont+F2" w:cs="CIDFont+F2"/>
                <w:sz w:val="21"/>
                <w:szCs w:val="21"/>
              </w:rPr>
            </w:pPr>
            <w:r>
              <w:rPr>
                <w:rFonts w:ascii="CIDFont+F2" w:hAnsi="CIDFont+F2" w:cs="CIDFont+F2"/>
                <w:sz w:val="21"/>
                <w:szCs w:val="21"/>
              </w:rPr>
              <w:t>- Fédération nationale, ci-après désignée « fédération nationale Afac-Agroforesteries »</w:t>
            </w:r>
          </w:p>
          <w:p w14:paraId="11132120" w14:textId="5A9025CF" w:rsidR="00052BC3" w:rsidRDefault="00052BC3" w:rsidP="00052BC3">
            <w:r>
              <w:rPr>
                <w:rFonts w:ascii="CIDFont+F2" w:hAnsi="CIDFont+F2" w:cs="CIDFont+F2"/>
                <w:sz w:val="21"/>
                <w:szCs w:val="21"/>
              </w:rPr>
              <w:t>- Associations régionales Afac-Agroforesteries, ci-après désignée « Afac régionales »</w:t>
            </w:r>
          </w:p>
        </w:tc>
        <w:tc>
          <w:tcPr>
            <w:tcW w:w="4382" w:type="dxa"/>
          </w:tcPr>
          <w:p w14:paraId="25EA797B" w14:textId="373844FF" w:rsidR="00052BC3" w:rsidRDefault="00052BC3">
            <w:r>
              <w:t>Cet article est supprimé</w:t>
            </w:r>
          </w:p>
        </w:tc>
        <w:tc>
          <w:tcPr>
            <w:tcW w:w="4094" w:type="dxa"/>
          </w:tcPr>
          <w:p w14:paraId="39EDA730" w14:textId="46776520" w:rsidR="00AC728D" w:rsidRDefault="00052BC3">
            <w:pPr>
              <w:rPr>
                <w:b/>
                <w:bCs/>
              </w:rPr>
            </w:pPr>
            <w:r>
              <w:t xml:space="preserve">Au vu de l’avancement </w:t>
            </w:r>
            <w:r w:rsidR="00C612EE">
              <w:t xml:space="preserve">progressif </w:t>
            </w:r>
            <w:r>
              <w:t>des constitutions des Afac régionales, l’Afac nationale ne peut pas pour l’instant être considérée comme une fédération.</w:t>
            </w:r>
            <w:r w:rsidR="0058552A">
              <w:t xml:space="preserve"> Quand l’ensemble des Afac régionales seront constituées, les statuts </w:t>
            </w:r>
            <w:proofErr w:type="spellStart"/>
            <w:r w:rsidR="0058552A">
              <w:t>réévoluront</w:t>
            </w:r>
            <w:proofErr w:type="spellEnd"/>
            <w:r w:rsidR="0058552A">
              <w:t xml:space="preserve"> vers la proposition initiale.</w:t>
            </w:r>
          </w:p>
          <w:p w14:paraId="72DC1F5C" w14:textId="77777777" w:rsidR="00AC728D" w:rsidRDefault="00AC728D">
            <w:pPr>
              <w:rPr>
                <w:b/>
                <w:bCs/>
              </w:rPr>
            </w:pPr>
          </w:p>
          <w:p w14:paraId="0EEB1301" w14:textId="7057E96B" w:rsidR="00052BC3" w:rsidRDefault="00052BC3">
            <w:r>
              <w:t xml:space="preserve"> Il n’est donc pas possible de faire valoir </w:t>
            </w:r>
            <w:r w:rsidR="00C612EE">
              <w:t>c</w:t>
            </w:r>
            <w:r>
              <w:t xml:space="preserve">e lien </w:t>
            </w:r>
            <w:r w:rsidR="00C612EE">
              <w:t xml:space="preserve">avec les Afac régionales </w:t>
            </w:r>
            <w:r>
              <w:t xml:space="preserve">dans </w:t>
            </w:r>
            <w:r w:rsidR="00C612EE">
              <w:t>les statuts</w:t>
            </w:r>
            <w:r w:rsidR="00AC728D">
              <w:t xml:space="preserve">. Les éléments en référence sont retirés du texte dans tous les articles. </w:t>
            </w:r>
          </w:p>
          <w:p w14:paraId="48B7DD7E" w14:textId="77777777" w:rsidR="00AC728D" w:rsidRDefault="00AC728D"/>
          <w:p w14:paraId="413C978C" w14:textId="77777777" w:rsidR="00AC728D" w:rsidRDefault="00AC728D">
            <w:r>
              <w:t>Ces points seront traités dans les conventions signées entre Afac régionale et Afac nationale</w:t>
            </w:r>
            <w:r w:rsidR="00C612EE">
              <w:t xml:space="preserve"> et à travers les comités régionaux (</w:t>
            </w:r>
            <w:proofErr w:type="spellStart"/>
            <w:r w:rsidR="00C612EE">
              <w:t>cf</w:t>
            </w:r>
            <w:proofErr w:type="spellEnd"/>
            <w:r w:rsidR="00C612EE">
              <w:t xml:space="preserve"> article 14).</w:t>
            </w:r>
          </w:p>
          <w:p w14:paraId="18E90626" w14:textId="619C38D1" w:rsidR="00C612EE" w:rsidRDefault="00C612EE"/>
        </w:tc>
      </w:tr>
      <w:tr w:rsidR="00052BC3" w14:paraId="04F4A403" w14:textId="3E9D9B00" w:rsidTr="002C2DFA">
        <w:tc>
          <w:tcPr>
            <w:tcW w:w="2034" w:type="dxa"/>
          </w:tcPr>
          <w:p w14:paraId="5E9C1426" w14:textId="77777777" w:rsidR="00052BC3" w:rsidRDefault="00AC728D">
            <w:r>
              <w:lastRenderedPageBreak/>
              <w:t>Article 5 : composition</w:t>
            </w:r>
          </w:p>
          <w:p w14:paraId="203B6578" w14:textId="77777777" w:rsidR="00AC728D" w:rsidRDefault="00AC728D"/>
          <w:p w14:paraId="21B07A39" w14:textId="77777777" w:rsidR="00AC728D" w:rsidRPr="00AC728D" w:rsidRDefault="00AC728D" w:rsidP="00AC728D">
            <w:pPr>
              <w:pStyle w:val="Titre1"/>
              <w:ind w:left="0" w:right="-36"/>
              <w:jc w:val="left"/>
              <w:outlineLvl w:val="0"/>
              <w:rPr>
                <w:rFonts w:ascii="Source Sans Pro" w:hAnsi="Source Sans Pro"/>
                <w:b w:val="0"/>
                <w:bCs w:val="0"/>
                <w:i/>
                <w:iCs/>
                <w:sz w:val="22"/>
                <w:szCs w:val="22"/>
              </w:rPr>
            </w:pPr>
            <w:bookmarkStart w:id="0" w:name="_Toc117664633"/>
            <w:r w:rsidRPr="00AC728D">
              <w:rPr>
                <w:rFonts w:ascii="Source Sans Pro" w:hAnsi="Source Sans Pro"/>
                <w:b w:val="0"/>
                <w:bCs w:val="0"/>
                <w:i/>
                <w:iCs/>
                <w:sz w:val="22"/>
                <w:szCs w:val="22"/>
              </w:rPr>
              <w:t>Article 3  – Composition</w:t>
            </w:r>
            <w:bookmarkEnd w:id="0"/>
          </w:p>
          <w:p w14:paraId="37DFBDD1" w14:textId="24BDCBAD" w:rsidR="00AC728D" w:rsidRDefault="00AC728D"/>
        </w:tc>
        <w:tc>
          <w:tcPr>
            <w:tcW w:w="4375" w:type="dxa"/>
          </w:tcPr>
          <w:p w14:paraId="099908FB" w14:textId="77777777" w:rsidR="00052BC3" w:rsidRDefault="00AC728D" w:rsidP="00AC728D">
            <w:pPr>
              <w:autoSpaceDE w:val="0"/>
              <w:autoSpaceDN w:val="0"/>
              <w:adjustRightInd w:val="0"/>
              <w:rPr>
                <w:rFonts w:ascii="CIDFont+F2" w:hAnsi="CIDFont+F2" w:cs="CIDFont+F2"/>
                <w:sz w:val="21"/>
                <w:szCs w:val="21"/>
              </w:rPr>
            </w:pPr>
            <w:r>
              <w:rPr>
                <w:rFonts w:ascii="CIDFont+F2" w:hAnsi="CIDFont+F2" w:cs="CIDFont+F2"/>
                <w:sz w:val="21"/>
                <w:szCs w:val="21"/>
              </w:rPr>
              <w:t>Outre leur appartenance régionale, les adhérents sont répartis en collèges au regard de leur qualité propre ou de leurs intérêts moraux en commun, définis par l’assemblée générale de la fédération nationale Afac-Agroforesteries.</w:t>
            </w:r>
          </w:p>
          <w:p w14:paraId="73649A25" w14:textId="77777777" w:rsidR="007448D5" w:rsidRDefault="007448D5" w:rsidP="00AC728D">
            <w:pPr>
              <w:autoSpaceDE w:val="0"/>
              <w:autoSpaceDN w:val="0"/>
              <w:adjustRightInd w:val="0"/>
              <w:rPr>
                <w:rFonts w:ascii="CIDFont+F2" w:hAnsi="CIDFont+F2" w:cs="CIDFont+F2"/>
                <w:sz w:val="21"/>
                <w:szCs w:val="21"/>
              </w:rPr>
            </w:pPr>
          </w:p>
          <w:p w14:paraId="3E54B51D" w14:textId="091A62B8" w:rsidR="007448D5" w:rsidRDefault="007448D5" w:rsidP="00AC728D">
            <w:pPr>
              <w:autoSpaceDE w:val="0"/>
              <w:autoSpaceDN w:val="0"/>
              <w:adjustRightInd w:val="0"/>
            </w:pPr>
          </w:p>
        </w:tc>
        <w:tc>
          <w:tcPr>
            <w:tcW w:w="4382" w:type="dxa"/>
          </w:tcPr>
          <w:p w14:paraId="23A2A150" w14:textId="46EA4E46" w:rsidR="00AC728D" w:rsidRDefault="00AC728D" w:rsidP="00AC728D">
            <w:pPr>
              <w:pBdr>
                <w:top w:val="nil"/>
                <w:left w:val="nil"/>
                <w:bottom w:val="nil"/>
                <w:right w:val="nil"/>
                <w:between w:val="nil"/>
              </w:pBdr>
              <w:ind w:right="-36"/>
              <w:rPr>
                <w:rFonts w:ascii="Source Sans Pro" w:hAnsi="Source Sans Pro"/>
                <w:color w:val="000000"/>
              </w:rPr>
            </w:pPr>
            <w:r>
              <w:rPr>
                <w:rFonts w:ascii="Source Sans Pro" w:hAnsi="Source Sans Pro"/>
                <w:color w:val="000000"/>
              </w:rPr>
              <w:t xml:space="preserve">Les membres de </w:t>
            </w:r>
            <w:r w:rsidR="00812ABF">
              <w:rPr>
                <w:rFonts w:ascii="Source Sans Pro" w:hAnsi="Source Sans Pro"/>
                <w:color w:val="000000"/>
              </w:rPr>
              <w:t>l’Afac</w:t>
            </w:r>
            <w:r>
              <w:rPr>
                <w:rFonts w:ascii="Source Sans Pro" w:hAnsi="Source Sans Pro"/>
                <w:color w:val="000000"/>
              </w:rPr>
              <w:t xml:space="preserve">-Agroforesteries correspondent à trois </w:t>
            </w:r>
            <w:r w:rsidR="0058552A">
              <w:rPr>
                <w:rFonts w:ascii="Source Sans Pro" w:hAnsi="Source Sans Pro"/>
                <w:color w:val="000000"/>
              </w:rPr>
              <w:t>typologies</w:t>
            </w:r>
            <w:r w:rsidR="00812ABF">
              <w:rPr>
                <w:rFonts w:ascii="Source Sans Pro" w:hAnsi="Source Sans Pro"/>
                <w:color w:val="000000"/>
              </w:rPr>
              <w:t xml:space="preserve"> </w:t>
            </w:r>
            <w:r>
              <w:rPr>
                <w:rFonts w:ascii="Source Sans Pro" w:hAnsi="Source Sans Pro"/>
                <w:color w:val="000000"/>
              </w:rPr>
              <w:t>d’acteurs :</w:t>
            </w:r>
          </w:p>
          <w:p w14:paraId="58EC60DB" w14:textId="6FDFC06D" w:rsidR="005A0F57" w:rsidRDefault="005A0F57" w:rsidP="00AC728D">
            <w:pPr>
              <w:pBdr>
                <w:top w:val="nil"/>
                <w:left w:val="nil"/>
                <w:bottom w:val="nil"/>
                <w:right w:val="nil"/>
                <w:between w:val="nil"/>
              </w:pBdr>
              <w:ind w:right="-36"/>
              <w:rPr>
                <w:rFonts w:ascii="Source Sans Pro" w:hAnsi="Source Sans Pro"/>
                <w:color w:val="000000"/>
              </w:rPr>
            </w:pPr>
          </w:p>
          <w:p w14:paraId="2973292D" w14:textId="40A29039" w:rsidR="005A0F57" w:rsidRPr="005A0F57" w:rsidRDefault="005A0F57" w:rsidP="005A0F57">
            <w:pPr>
              <w:pStyle w:val="Paragraphedeliste"/>
              <w:numPr>
                <w:ilvl w:val="0"/>
                <w:numId w:val="2"/>
              </w:numPr>
              <w:pBdr>
                <w:top w:val="nil"/>
                <w:left w:val="nil"/>
                <w:bottom w:val="nil"/>
                <w:right w:val="nil"/>
                <w:between w:val="nil"/>
              </w:pBdr>
              <w:spacing w:before="120"/>
              <w:ind w:right="-36"/>
              <w:contextualSpacing w:val="0"/>
              <w:jc w:val="both"/>
              <w:rPr>
                <w:rFonts w:ascii="Source Sans Pro" w:hAnsi="Source Sans Pro"/>
                <w:color w:val="000000"/>
              </w:rPr>
            </w:pPr>
            <w:r w:rsidRPr="005A0F57">
              <w:rPr>
                <w:rFonts w:ascii="Source Sans Pro" w:hAnsi="Source Sans Pro"/>
                <w:color w:val="000000"/>
              </w:rPr>
              <w:t xml:space="preserve">Les structures </w:t>
            </w:r>
            <w:bookmarkStart w:id="1" w:name="_Hlk105089594"/>
            <w:r w:rsidRPr="005A0F57">
              <w:rPr>
                <w:rFonts w:ascii="Source Sans Pro" w:hAnsi="Source Sans Pro"/>
                <w:color w:val="000000"/>
              </w:rPr>
              <w:t>pour lesquelles l'arbre hors-forêt est le cœur d'activité </w:t>
            </w:r>
          </w:p>
          <w:p w14:paraId="41FF5AB9" w14:textId="7F41AD1D" w:rsidR="005A0F57" w:rsidRPr="005A0F57" w:rsidRDefault="005A0F57" w:rsidP="005A0F57">
            <w:pPr>
              <w:pStyle w:val="Paragraphedeliste"/>
              <w:numPr>
                <w:ilvl w:val="0"/>
                <w:numId w:val="2"/>
              </w:numPr>
              <w:pBdr>
                <w:top w:val="nil"/>
                <w:left w:val="nil"/>
                <w:bottom w:val="nil"/>
                <w:right w:val="nil"/>
                <w:between w:val="nil"/>
              </w:pBdr>
              <w:spacing w:before="120"/>
              <w:ind w:right="-36"/>
              <w:contextualSpacing w:val="0"/>
              <w:jc w:val="both"/>
              <w:rPr>
                <w:rFonts w:ascii="Source Sans Pro" w:hAnsi="Source Sans Pro"/>
                <w:color w:val="000000"/>
              </w:rPr>
            </w:pPr>
            <w:r w:rsidRPr="005A0F57">
              <w:rPr>
                <w:rFonts w:ascii="Source Sans Pro" w:hAnsi="Source Sans Pro"/>
                <w:color w:val="000000"/>
              </w:rPr>
              <w:t>Les structures menant des actions sur le thème de l'arbre hors-forêt dans le cadre de leurs missions agricoles </w:t>
            </w:r>
          </w:p>
          <w:p w14:paraId="1CD437F4" w14:textId="5B08FA49" w:rsidR="00052BC3" w:rsidRDefault="005A0F57">
            <w:r w:rsidRPr="005A0F57">
              <w:rPr>
                <w:rFonts w:ascii="Source Sans Pro" w:hAnsi="Source Sans Pro"/>
                <w:color w:val="000000"/>
              </w:rPr>
              <w:t xml:space="preserve">Les structures menant des actions sur le thème de l'arbre hors-forêt dans le cadre de leurs missions environnementales et/ou de développement territorial </w:t>
            </w:r>
            <w:bookmarkEnd w:id="1"/>
          </w:p>
          <w:p w14:paraId="52B50103" w14:textId="4CC93E89" w:rsidR="007448D5" w:rsidRDefault="007448D5"/>
        </w:tc>
        <w:tc>
          <w:tcPr>
            <w:tcW w:w="4094" w:type="dxa"/>
          </w:tcPr>
          <w:p w14:paraId="6C765795" w14:textId="7139666D" w:rsidR="0058552A" w:rsidRDefault="00AC728D">
            <w:r>
              <w:t>Les collèges initiaux sont</w:t>
            </w:r>
            <w:r w:rsidR="0058552A">
              <w:t xml:space="preserve"> désormais</w:t>
            </w:r>
            <w:r>
              <w:t xml:space="preserve"> désignés </w:t>
            </w:r>
            <w:r w:rsidR="0058552A">
              <w:t>par le terme</w:t>
            </w:r>
            <w:r>
              <w:t xml:space="preserve"> </w:t>
            </w:r>
            <w:r w:rsidR="0058552A">
              <w:t>« </w:t>
            </w:r>
            <w:r w:rsidR="00812ABF">
              <w:t>typ</w:t>
            </w:r>
            <w:r w:rsidR="0058552A">
              <w:t>ologie</w:t>
            </w:r>
            <w:r w:rsidR="00812ABF">
              <w:t xml:space="preserve"> </w:t>
            </w:r>
            <w:r>
              <w:t>d’acteurs</w:t>
            </w:r>
            <w:r w:rsidR="0058552A">
              <w:t> »</w:t>
            </w:r>
            <w:r w:rsidR="007448D5">
              <w:t>, sans changer la composition</w:t>
            </w:r>
            <w:r w:rsidR="0058552A">
              <w:t xml:space="preserve">. </w:t>
            </w:r>
          </w:p>
          <w:p w14:paraId="3718021C" w14:textId="77777777" w:rsidR="007448D5" w:rsidRDefault="007448D5" w:rsidP="007448D5">
            <w:r>
              <w:t>Cela ne remet pas en cause la répartition des collèges dans les Afac Régionales.</w:t>
            </w:r>
          </w:p>
          <w:p w14:paraId="588039FC" w14:textId="77777777" w:rsidR="0058552A" w:rsidRDefault="0058552A"/>
          <w:p w14:paraId="5CD14166" w14:textId="663DDDC1" w:rsidR="0058552A" w:rsidRDefault="0058552A">
            <w:r>
              <w:t xml:space="preserve">Le terme « collège » est appliqué pour la composition du Conseil d’administration : </w:t>
            </w:r>
          </w:p>
          <w:p w14:paraId="68AD53D4" w14:textId="421B50EB" w:rsidR="0058552A" w:rsidRDefault="0058552A" w:rsidP="0058552A">
            <w:pPr>
              <w:pStyle w:val="Paragraphedeliste"/>
              <w:numPr>
                <w:ilvl w:val="0"/>
                <w:numId w:val="3"/>
              </w:numPr>
            </w:pPr>
            <w:r>
              <w:t xml:space="preserve">Collège 1 : </w:t>
            </w:r>
            <w:r w:rsidR="005A0F57">
              <w:t>représentant les trois typologies d’</w:t>
            </w:r>
            <w:proofErr w:type="spellStart"/>
            <w:r w:rsidR="005A0F57">
              <w:t>acteursr</w:t>
            </w:r>
            <w:proofErr w:type="spellEnd"/>
          </w:p>
          <w:p w14:paraId="4634C6C3" w14:textId="2CFC21D0" w:rsidR="0058552A" w:rsidRDefault="0058552A" w:rsidP="0058552A">
            <w:pPr>
              <w:pStyle w:val="Paragraphedeliste"/>
              <w:numPr>
                <w:ilvl w:val="0"/>
                <w:numId w:val="3"/>
              </w:numPr>
            </w:pPr>
            <w:r>
              <w:t xml:space="preserve">Collège 2 : </w:t>
            </w:r>
            <w:r w:rsidR="005A0F57">
              <w:t>représentant les  acteurs par région</w:t>
            </w:r>
          </w:p>
          <w:p w14:paraId="0C066127" w14:textId="13CCCD67" w:rsidR="0058552A" w:rsidRDefault="0058552A"/>
          <w:p w14:paraId="0C5D947A" w14:textId="77777777" w:rsidR="00AC728D" w:rsidRDefault="00AC728D"/>
          <w:p w14:paraId="3F501582" w14:textId="524EE0BC" w:rsidR="00812ABF" w:rsidRDefault="00812ABF" w:rsidP="007448D5"/>
        </w:tc>
      </w:tr>
      <w:tr w:rsidR="002C2DFA" w14:paraId="4653BD3B" w14:textId="7E55F324" w:rsidTr="002C2DFA">
        <w:tc>
          <w:tcPr>
            <w:tcW w:w="2034" w:type="dxa"/>
          </w:tcPr>
          <w:p w14:paraId="65244CCE" w14:textId="77777777" w:rsidR="002C2DFA" w:rsidRDefault="002C2DFA">
            <w:pPr>
              <w:rPr>
                <w:rFonts w:ascii="CIDFont+F3" w:hAnsi="CIDFont+F3" w:cs="CIDFont+F3"/>
                <w:sz w:val="21"/>
                <w:szCs w:val="21"/>
              </w:rPr>
            </w:pPr>
            <w:r>
              <w:rPr>
                <w:rFonts w:ascii="CIDFont+F3" w:hAnsi="CIDFont+F3" w:cs="CIDFont+F3"/>
                <w:sz w:val="21"/>
                <w:szCs w:val="21"/>
              </w:rPr>
              <w:t>Article 9 – Composition du conseil d’administration</w:t>
            </w:r>
          </w:p>
          <w:p w14:paraId="63BA4293" w14:textId="77777777" w:rsidR="002C2DFA" w:rsidRDefault="002C2DFA">
            <w:pPr>
              <w:rPr>
                <w:rFonts w:ascii="CIDFont+F3" w:hAnsi="CIDFont+F3" w:cs="CIDFont+F3"/>
                <w:sz w:val="21"/>
                <w:szCs w:val="21"/>
              </w:rPr>
            </w:pPr>
          </w:p>
          <w:p w14:paraId="620DD727" w14:textId="53921C09" w:rsidR="002C2DFA" w:rsidRDefault="002C2DFA" w:rsidP="00AC728D">
            <w:pPr>
              <w:pStyle w:val="Titre1"/>
              <w:spacing w:before="90"/>
              <w:ind w:left="0" w:right="-36"/>
              <w:jc w:val="left"/>
              <w:outlineLvl w:val="0"/>
              <w:rPr>
                <w:rFonts w:ascii="Source Sans Pro" w:hAnsi="Source Sans Pro"/>
                <w:b w:val="0"/>
                <w:bCs w:val="0"/>
                <w:i/>
                <w:iCs/>
                <w:sz w:val="22"/>
                <w:szCs w:val="22"/>
              </w:rPr>
            </w:pPr>
            <w:bookmarkStart w:id="2" w:name="_Toc117664638"/>
            <w:r w:rsidRPr="00AC728D">
              <w:rPr>
                <w:rFonts w:ascii="Source Sans Pro" w:hAnsi="Source Sans Pro"/>
                <w:b w:val="0"/>
                <w:bCs w:val="0"/>
                <w:i/>
                <w:iCs/>
                <w:sz w:val="22"/>
                <w:szCs w:val="22"/>
              </w:rPr>
              <w:t>Article 7 – Composition du conseil</w:t>
            </w:r>
            <w:r w:rsidRPr="00BB73FA">
              <w:rPr>
                <w:rFonts w:ascii="Source Sans Pro" w:hAnsi="Source Sans Pro"/>
                <w:sz w:val="22"/>
                <w:szCs w:val="22"/>
              </w:rPr>
              <w:t xml:space="preserve"> </w:t>
            </w:r>
            <w:r w:rsidRPr="00AC728D">
              <w:rPr>
                <w:rFonts w:ascii="Source Sans Pro" w:hAnsi="Source Sans Pro"/>
                <w:b w:val="0"/>
                <w:bCs w:val="0"/>
                <w:i/>
                <w:iCs/>
                <w:sz w:val="22"/>
                <w:szCs w:val="22"/>
              </w:rPr>
              <w:t>d’administration</w:t>
            </w:r>
            <w:bookmarkEnd w:id="2"/>
          </w:p>
          <w:p w14:paraId="274A7118" w14:textId="6DE167CE" w:rsidR="002C2DFA" w:rsidRDefault="002C2DFA" w:rsidP="00AC728D">
            <w:pPr>
              <w:pStyle w:val="Titre1"/>
              <w:spacing w:before="90"/>
              <w:ind w:left="0" w:right="-36"/>
              <w:jc w:val="left"/>
              <w:outlineLvl w:val="0"/>
              <w:rPr>
                <w:rFonts w:ascii="Source Sans Pro" w:hAnsi="Source Sans Pro"/>
                <w:i/>
                <w:iCs/>
                <w:sz w:val="22"/>
                <w:szCs w:val="22"/>
              </w:rPr>
            </w:pPr>
          </w:p>
          <w:p w14:paraId="7B582B9D" w14:textId="35DDA468" w:rsidR="002C2DFA" w:rsidRPr="00BB73FA" w:rsidRDefault="002C2DFA" w:rsidP="00AC728D">
            <w:pPr>
              <w:pStyle w:val="Titre1"/>
              <w:spacing w:before="90"/>
              <w:ind w:left="0" w:right="-36"/>
              <w:jc w:val="left"/>
              <w:outlineLvl w:val="0"/>
              <w:rPr>
                <w:rFonts w:ascii="Source Sans Pro" w:hAnsi="Source Sans Pro"/>
                <w:sz w:val="22"/>
                <w:szCs w:val="22"/>
              </w:rPr>
            </w:pPr>
            <w:r>
              <w:rPr>
                <w:rFonts w:ascii="Source Sans Pro" w:hAnsi="Source Sans Pro"/>
                <w:i/>
                <w:iCs/>
                <w:sz w:val="22"/>
                <w:szCs w:val="22"/>
              </w:rPr>
              <w:t>Et articles suivants sur les modalités d’élection des administrateurs</w:t>
            </w:r>
          </w:p>
          <w:p w14:paraId="155F7C53" w14:textId="3CA3672F" w:rsidR="002C2DFA" w:rsidRDefault="002C2DFA"/>
        </w:tc>
        <w:tc>
          <w:tcPr>
            <w:tcW w:w="4375" w:type="dxa"/>
          </w:tcPr>
          <w:p w14:paraId="3606FE0B" w14:textId="37107340" w:rsidR="002C2DFA" w:rsidRDefault="002C2DFA" w:rsidP="002C2DFA">
            <w:pPr>
              <w:autoSpaceDE w:val="0"/>
              <w:autoSpaceDN w:val="0"/>
              <w:adjustRightInd w:val="0"/>
              <w:rPr>
                <w:rFonts w:ascii="CIDFont+F2" w:hAnsi="CIDFont+F2" w:cs="CIDFont+F2"/>
                <w:sz w:val="21"/>
                <w:szCs w:val="21"/>
              </w:rPr>
            </w:pPr>
            <w:r>
              <w:rPr>
                <w:rFonts w:ascii="CIDFont+F2" w:hAnsi="CIDFont+F2" w:cs="CIDFont+F2"/>
                <w:sz w:val="21"/>
                <w:szCs w:val="21"/>
              </w:rPr>
              <w:t>Tous les adhérents à jour de cotisation, élisent et sont éligibles au conseil d’administration, dans les</w:t>
            </w:r>
            <w:r w:rsidR="00812ABF">
              <w:rPr>
                <w:rFonts w:ascii="CIDFont+F2" w:hAnsi="CIDFont+F2" w:cs="CIDFont+F2"/>
                <w:sz w:val="21"/>
                <w:szCs w:val="21"/>
              </w:rPr>
              <w:t xml:space="preserve"> </w:t>
            </w:r>
            <w:r>
              <w:rPr>
                <w:rFonts w:ascii="CIDFont+F2" w:hAnsi="CIDFont+F2" w:cs="CIDFont+F2"/>
                <w:sz w:val="21"/>
                <w:szCs w:val="21"/>
              </w:rPr>
              <w:t>conditions suivantes.</w:t>
            </w:r>
          </w:p>
          <w:p w14:paraId="454CC7A2" w14:textId="77777777" w:rsidR="002C2DFA" w:rsidRDefault="002C2DFA" w:rsidP="002C2DFA">
            <w:pPr>
              <w:autoSpaceDE w:val="0"/>
              <w:autoSpaceDN w:val="0"/>
              <w:adjustRightInd w:val="0"/>
              <w:rPr>
                <w:rFonts w:ascii="CIDFont+F2" w:hAnsi="CIDFont+F2" w:cs="CIDFont+F2"/>
                <w:sz w:val="21"/>
                <w:szCs w:val="21"/>
              </w:rPr>
            </w:pPr>
            <w:r>
              <w:rPr>
                <w:rFonts w:ascii="CIDFont+F2" w:hAnsi="CIDFont+F2" w:cs="CIDFont+F2"/>
                <w:sz w:val="21"/>
                <w:szCs w:val="21"/>
              </w:rPr>
              <w:t>Parmi ces 22 membres, le conseil d’administration compte :</w:t>
            </w:r>
          </w:p>
          <w:p w14:paraId="2D937150" w14:textId="77777777" w:rsidR="002C2DFA" w:rsidRDefault="002C2DFA" w:rsidP="002C2DFA">
            <w:pPr>
              <w:autoSpaceDE w:val="0"/>
              <w:autoSpaceDN w:val="0"/>
              <w:adjustRightInd w:val="0"/>
              <w:rPr>
                <w:rFonts w:ascii="CIDFont+F2" w:hAnsi="CIDFont+F2" w:cs="CIDFont+F2"/>
                <w:sz w:val="21"/>
                <w:szCs w:val="21"/>
              </w:rPr>
            </w:pPr>
            <w:r>
              <w:rPr>
                <w:rFonts w:ascii="CIDFont+F7" w:eastAsia="CIDFont+F7" w:hAnsi="CIDFont+F2" w:cs="CIDFont+F7" w:hint="eastAsia"/>
                <w:sz w:val="21"/>
                <w:szCs w:val="21"/>
              </w:rPr>
              <w:t></w:t>
            </w:r>
            <w:r>
              <w:rPr>
                <w:rFonts w:ascii="CIDFont+F7" w:eastAsia="CIDFont+F7" w:hAnsi="CIDFont+F2" w:cs="CIDFont+F7"/>
                <w:sz w:val="21"/>
                <w:szCs w:val="21"/>
              </w:rPr>
              <w:t xml:space="preserve"> </w:t>
            </w:r>
            <w:r>
              <w:rPr>
                <w:rFonts w:ascii="CIDFont+F2" w:hAnsi="CIDFont+F2" w:cs="CIDFont+F2"/>
                <w:sz w:val="21"/>
                <w:szCs w:val="21"/>
              </w:rPr>
              <w:t>9 sièges représentant la diversité des acteurs peu importe leur territoire respectif, répartis entre les</w:t>
            </w:r>
          </w:p>
          <w:p w14:paraId="0C6ECD47" w14:textId="77777777" w:rsidR="002C2DFA" w:rsidRDefault="002C2DFA" w:rsidP="002C2DFA">
            <w:pPr>
              <w:autoSpaceDE w:val="0"/>
              <w:autoSpaceDN w:val="0"/>
              <w:adjustRightInd w:val="0"/>
              <w:rPr>
                <w:rFonts w:ascii="CIDFont+F2" w:hAnsi="CIDFont+F2" w:cs="CIDFont+F2"/>
                <w:sz w:val="21"/>
                <w:szCs w:val="21"/>
              </w:rPr>
            </w:pPr>
            <w:r>
              <w:rPr>
                <w:rFonts w:ascii="CIDFont+F2" w:hAnsi="CIDFont+F2" w:cs="CIDFont+F2"/>
                <w:sz w:val="21"/>
                <w:szCs w:val="21"/>
              </w:rPr>
              <w:t>3 collèges d’adhérents selon un équilibre de 3 personnes par collège ;</w:t>
            </w:r>
          </w:p>
          <w:p w14:paraId="3844CB5A" w14:textId="11C5CDA6" w:rsidR="002C2DFA" w:rsidRDefault="002C2DFA" w:rsidP="002C2DFA">
            <w:r>
              <w:rPr>
                <w:rFonts w:ascii="CIDFont+F7" w:eastAsia="CIDFont+F7" w:hAnsi="CIDFont+F2" w:cs="CIDFont+F7" w:hint="eastAsia"/>
                <w:sz w:val="21"/>
                <w:szCs w:val="21"/>
              </w:rPr>
              <w:t></w:t>
            </w:r>
            <w:r>
              <w:rPr>
                <w:rFonts w:ascii="CIDFont+F7" w:eastAsia="CIDFont+F7" w:hAnsi="CIDFont+F2" w:cs="CIDFont+F7"/>
                <w:sz w:val="21"/>
                <w:szCs w:val="21"/>
              </w:rPr>
              <w:t xml:space="preserve"> </w:t>
            </w:r>
            <w:r>
              <w:rPr>
                <w:rFonts w:ascii="CIDFont+F2" w:hAnsi="CIDFont+F2" w:cs="CIDFont+F2"/>
                <w:sz w:val="21"/>
                <w:szCs w:val="21"/>
              </w:rPr>
              <w:t>13 sièges représentant la diversité des territoires, à raison d’un siège par région.</w:t>
            </w:r>
          </w:p>
        </w:tc>
        <w:tc>
          <w:tcPr>
            <w:tcW w:w="4382" w:type="dxa"/>
          </w:tcPr>
          <w:p w14:paraId="11607CF6" w14:textId="77777777" w:rsidR="002C2DFA" w:rsidRDefault="002C2DFA" w:rsidP="002C2DFA">
            <w:pPr>
              <w:pBdr>
                <w:top w:val="nil"/>
                <w:left w:val="nil"/>
                <w:bottom w:val="nil"/>
                <w:right w:val="nil"/>
                <w:between w:val="nil"/>
              </w:pBdr>
              <w:ind w:right="-36"/>
              <w:rPr>
                <w:rFonts w:ascii="Source Sans Pro" w:hAnsi="Source Sans Pro"/>
                <w:color w:val="000000"/>
              </w:rPr>
            </w:pPr>
            <w:r>
              <w:rPr>
                <w:rFonts w:ascii="Source Sans Pro" w:hAnsi="Source Sans Pro"/>
                <w:color w:val="000000"/>
              </w:rPr>
              <w:t>répartis en deux collèges.</w:t>
            </w:r>
          </w:p>
          <w:p w14:paraId="3DA693DA" w14:textId="725BF838" w:rsidR="002C2DFA" w:rsidRPr="00C73586" w:rsidRDefault="002C2DFA" w:rsidP="002C2DFA">
            <w:pPr>
              <w:pStyle w:val="Paragraphedeliste"/>
              <w:numPr>
                <w:ilvl w:val="0"/>
                <w:numId w:val="2"/>
              </w:numPr>
              <w:pBdr>
                <w:top w:val="nil"/>
                <w:left w:val="nil"/>
                <w:bottom w:val="nil"/>
                <w:right w:val="nil"/>
                <w:between w:val="nil"/>
              </w:pBdr>
              <w:spacing w:before="120"/>
              <w:ind w:right="-36"/>
              <w:contextualSpacing w:val="0"/>
              <w:jc w:val="both"/>
              <w:rPr>
                <w:rFonts w:ascii="Source Sans Pro" w:hAnsi="Source Sans Pro"/>
                <w:bCs/>
                <w:color w:val="000000"/>
              </w:rPr>
            </w:pPr>
            <w:r w:rsidRPr="00A52B3D">
              <w:rPr>
                <w:rFonts w:ascii="Source Sans Pro" w:hAnsi="Source Sans Pro"/>
                <w:bCs/>
                <w:color w:val="000000"/>
              </w:rPr>
              <w:t xml:space="preserve">Le premier collège comprend </w:t>
            </w:r>
            <w:r>
              <w:rPr>
                <w:rFonts w:ascii="Source Sans Pro" w:hAnsi="Source Sans Pro"/>
                <w:bCs/>
                <w:color w:val="000000"/>
              </w:rPr>
              <w:t xml:space="preserve">entre 6 et </w:t>
            </w:r>
            <w:r w:rsidRPr="00A52B3D">
              <w:rPr>
                <w:rFonts w:ascii="Source Sans Pro" w:hAnsi="Source Sans Pro"/>
                <w:bCs/>
                <w:color w:val="000000"/>
              </w:rPr>
              <w:t xml:space="preserve">9 administrateurs représentant les trois typologies de membres  adhérents de l’Association nationale </w:t>
            </w:r>
            <w:r w:rsidR="00812ABF" w:rsidRPr="00A52B3D">
              <w:rPr>
                <w:rFonts w:ascii="Source Sans Pro" w:hAnsi="Source Sans Pro"/>
                <w:bCs/>
                <w:color w:val="000000"/>
              </w:rPr>
              <w:t>A</w:t>
            </w:r>
            <w:r w:rsidR="00812ABF">
              <w:rPr>
                <w:rFonts w:ascii="Source Sans Pro" w:hAnsi="Source Sans Pro"/>
                <w:bCs/>
                <w:color w:val="000000"/>
              </w:rPr>
              <w:t>fac</w:t>
            </w:r>
            <w:r w:rsidRPr="00A52B3D">
              <w:rPr>
                <w:rFonts w:ascii="Source Sans Pro" w:hAnsi="Source Sans Pro"/>
                <w:bCs/>
                <w:color w:val="000000"/>
              </w:rPr>
              <w:t xml:space="preserve">-Agroforesteries telles que précisées à l’article 3 des présents statuts, soit 3 administrateurs </w:t>
            </w:r>
            <w:r w:rsidRPr="007250B1">
              <w:rPr>
                <w:rFonts w:ascii="Source Sans Pro" w:hAnsi="Source Sans Pro"/>
                <w:bCs/>
                <w:color w:val="000000"/>
              </w:rPr>
              <w:t xml:space="preserve">pour lesquels l'arbre </w:t>
            </w:r>
            <w:r w:rsidRPr="00683CA2">
              <w:rPr>
                <w:rFonts w:ascii="Source Sans Pro" w:hAnsi="Source Sans Pro"/>
                <w:bCs/>
                <w:color w:val="000000"/>
              </w:rPr>
              <w:t>hors-forêt est le cœur d'activité ;</w:t>
            </w:r>
            <w:r>
              <w:rPr>
                <w:rFonts w:ascii="Source Sans Pro" w:hAnsi="Source Sans Pro"/>
                <w:bCs/>
                <w:color w:val="000000"/>
              </w:rPr>
              <w:t xml:space="preserve"> 3 administrateurs </w:t>
            </w:r>
            <w:r w:rsidRPr="00683CA2">
              <w:rPr>
                <w:rFonts w:ascii="Source Sans Pro" w:hAnsi="Source Sans Pro"/>
                <w:bCs/>
                <w:color w:val="000000"/>
              </w:rPr>
              <w:t>menant des actions sur le thème de l'arbre hors-forêt dans le cadre de leurs missions agricoles</w:t>
            </w:r>
            <w:r>
              <w:rPr>
                <w:rFonts w:ascii="Source Sans Pro" w:hAnsi="Source Sans Pro"/>
                <w:bCs/>
                <w:color w:val="000000"/>
              </w:rPr>
              <w:t xml:space="preserve"> et 3 administrateurs </w:t>
            </w:r>
            <w:r w:rsidRPr="00683CA2">
              <w:rPr>
                <w:rFonts w:ascii="Source Sans Pro" w:hAnsi="Source Sans Pro"/>
                <w:bCs/>
                <w:color w:val="000000"/>
              </w:rPr>
              <w:t> </w:t>
            </w:r>
            <w:r w:rsidRPr="001A038A">
              <w:rPr>
                <w:rFonts w:ascii="Source Sans Pro" w:hAnsi="Source Sans Pro"/>
                <w:bCs/>
                <w:color w:val="000000"/>
              </w:rPr>
              <w:t xml:space="preserve">menant des actions sur le thème de l'arbre hors-forêt dans le cadre de leurs missions environnementales </w:t>
            </w:r>
            <w:r>
              <w:rPr>
                <w:rFonts w:ascii="Source Sans Pro" w:hAnsi="Source Sans Pro"/>
                <w:bCs/>
                <w:color w:val="000000"/>
              </w:rPr>
              <w:t>et/</w:t>
            </w:r>
            <w:r w:rsidRPr="001A038A">
              <w:rPr>
                <w:rFonts w:ascii="Source Sans Pro" w:hAnsi="Source Sans Pro"/>
                <w:bCs/>
                <w:color w:val="000000"/>
              </w:rPr>
              <w:t>ou de développement rural.</w:t>
            </w:r>
          </w:p>
          <w:p w14:paraId="3A82EBA9" w14:textId="2F40D3E8" w:rsidR="002C2DFA" w:rsidRPr="006C64CF" w:rsidRDefault="002C2DFA" w:rsidP="002C2DFA">
            <w:pPr>
              <w:pStyle w:val="Paragraphedeliste"/>
              <w:numPr>
                <w:ilvl w:val="0"/>
                <w:numId w:val="2"/>
              </w:numPr>
              <w:pBdr>
                <w:top w:val="nil"/>
                <w:left w:val="nil"/>
                <w:bottom w:val="nil"/>
                <w:right w:val="nil"/>
                <w:between w:val="nil"/>
              </w:pBdr>
              <w:spacing w:before="120"/>
              <w:ind w:right="-36"/>
              <w:contextualSpacing w:val="0"/>
              <w:jc w:val="both"/>
              <w:rPr>
                <w:rFonts w:ascii="Source Sans Pro" w:hAnsi="Source Sans Pro"/>
                <w:bCs/>
                <w:color w:val="000000"/>
              </w:rPr>
            </w:pPr>
            <w:r w:rsidRPr="006C64CF">
              <w:rPr>
                <w:rFonts w:ascii="Source Sans Pro" w:hAnsi="Source Sans Pro"/>
                <w:bCs/>
                <w:color w:val="000000"/>
              </w:rPr>
              <w:lastRenderedPageBreak/>
              <w:t>Le second collège comprend</w:t>
            </w:r>
            <w:r>
              <w:rPr>
                <w:rFonts w:ascii="Source Sans Pro" w:hAnsi="Source Sans Pro"/>
                <w:bCs/>
                <w:color w:val="000000"/>
              </w:rPr>
              <w:t xml:space="preserve"> entre 10 et</w:t>
            </w:r>
            <w:r w:rsidR="00812ABF">
              <w:rPr>
                <w:rFonts w:ascii="Source Sans Pro" w:hAnsi="Source Sans Pro"/>
                <w:bCs/>
                <w:color w:val="000000"/>
              </w:rPr>
              <w:t xml:space="preserve"> </w:t>
            </w:r>
            <w:r w:rsidRPr="006C64CF">
              <w:rPr>
                <w:rFonts w:ascii="Source Sans Pro" w:hAnsi="Source Sans Pro"/>
                <w:bCs/>
                <w:color w:val="000000"/>
              </w:rPr>
              <w:t>13 administrateurs</w:t>
            </w:r>
            <w:r>
              <w:rPr>
                <w:rFonts w:ascii="Source Sans Pro" w:hAnsi="Source Sans Pro"/>
                <w:bCs/>
                <w:color w:val="000000"/>
              </w:rPr>
              <w:t xml:space="preserve">, soit les </w:t>
            </w:r>
            <w:r w:rsidRPr="006C64CF">
              <w:rPr>
                <w:rFonts w:ascii="Source Sans Pro" w:hAnsi="Source Sans Pro"/>
                <w:bCs/>
                <w:color w:val="000000"/>
              </w:rPr>
              <w:t xml:space="preserve">délégués régionaux élus par </w:t>
            </w:r>
            <w:r>
              <w:rPr>
                <w:rFonts w:ascii="Source Sans Pro" w:hAnsi="Source Sans Pro"/>
                <w:bCs/>
                <w:color w:val="000000"/>
              </w:rPr>
              <w:t xml:space="preserve">et parmi </w:t>
            </w:r>
            <w:r w:rsidRPr="006C64CF">
              <w:rPr>
                <w:rFonts w:ascii="Source Sans Pro" w:hAnsi="Source Sans Pro"/>
                <w:bCs/>
                <w:color w:val="000000"/>
              </w:rPr>
              <w:t xml:space="preserve">les membres de chaque comité régional </w:t>
            </w:r>
            <w:r>
              <w:rPr>
                <w:rFonts w:ascii="Source Sans Pro" w:hAnsi="Source Sans Pro"/>
                <w:bCs/>
                <w:color w:val="000000"/>
              </w:rPr>
              <w:t xml:space="preserve">mis en place </w:t>
            </w:r>
            <w:r w:rsidRPr="006C64CF">
              <w:rPr>
                <w:rFonts w:ascii="Source Sans Pro" w:hAnsi="Source Sans Pro"/>
                <w:bCs/>
                <w:color w:val="000000"/>
              </w:rPr>
              <w:t xml:space="preserve">à raison d’un délégué par </w:t>
            </w:r>
            <w:r>
              <w:rPr>
                <w:rFonts w:ascii="Source Sans Pro" w:hAnsi="Source Sans Pro"/>
                <w:bCs/>
                <w:color w:val="000000"/>
              </w:rPr>
              <w:t>r</w:t>
            </w:r>
            <w:r w:rsidRPr="006C64CF">
              <w:rPr>
                <w:rFonts w:ascii="Source Sans Pro" w:hAnsi="Source Sans Pro"/>
                <w:bCs/>
                <w:color w:val="000000"/>
              </w:rPr>
              <w:t xml:space="preserve">égion </w:t>
            </w:r>
            <w:r>
              <w:rPr>
                <w:rFonts w:ascii="Source Sans Pro" w:hAnsi="Source Sans Pro"/>
                <w:bCs/>
                <w:color w:val="000000"/>
              </w:rPr>
              <w:t xml:space="preserve">au sein de laquelle existe un comité régional </w:t>
            </w:r>
            <w:r w:rsidRPr="006C64CF">
              <w:rPr>
                <w:rFonts w:ascii="Source Sans Pro" w:hAnsi="Source Sans Pro"/>
                <w:bCs/>
                <w:color w:val="000000"/>
              </w:rPr>
              <w:t xml:space="preserve">à laquelle sont rattachés les adhérents. </w:t>
            </w:r>
          </w:p>
          <w:p w14:paraId="423A0161" w14:textId="77777777" w:rsidR="002C2DFA" w:rsidRDefault="002C2DFA"/>
        </w:tc>
        <w:tc>
          <w:tcPr>
            <w:tcW w:w="4094" w:type="dxa"/>
            <w:vMerge w:val="restart"/>
          </w:tcPr>
          <w:p w14:paraId="7F8DE757" w14:textId="77777777" w:rsidR="005A0F57" w:rsidRDefault="005A0F57"/>
          <w:p w14:paraId="119F3589" w14:textId="77777777" w:rsidR="005A0F57" w:rsidRDefault="005A0F57"/>
          <w:p w14:paraId="52316CDC" w14:textId="77777777" w:rsidR="005A0F57" w:rsidRDefault="005A0F57"/>
          <w:p w14:paraId="62B7B3FE" w14:textId="77777777" w:rsidR="005A0F57" w:rsidRDefault="005A0F57"/>
          <w:p w14:paraId="3A3E70BE" w14:textId="77777777" w:rsidR="005A0F57" w:rsidRDefault="005A0F57"/>
          <w:p w14:paraId="7CDF434D" w14:textId="77777777" w:rsidR="005A0F57" w:rsidRDefault="005A0F57"/>
          <w:p w14:paraId="747B8A3F" w14:textId="77777777" w:rsidR="005A0F57" w:rsidRDefault="005A0F57"/>
          <w:p w14:paraId="65C217D4" w14:textId="77777777" w:rsidR="005A0F57" w:rsidRDefault="005A0F57"/>
          <w:p w14:paraId="76CB0EF9" w14:textId="77777777" w:rsidR="005A0F57" w:rsidRDefault="005A0F57"/>
          <w:p w14:paraId="13762590" w14:textId="77777777" w:rsidR="005A0F57" w:rsidRDefault="005A0F57"/>
          <w:p w14:paraId="2B3F77E8" w14:textId="77777777" w:rsidR="005A0F57" w:rsidRDefault="005A0F57"/>
          <w:p w14:paraId="241FBBD8" w14:textId="77777777" w:rsidR="005A0F57" w:rsidRDefault="005A0F57"/>
          <w:p w14:paraId="7B372843" w14:textId="77777777" w:rsidR="005A0F57" w:rsidRDefault="005A0F57"/>
          <w:p w14:paraId="6C9017F7" w14:textId="707608A9" w:rsidR="002C2DFA" w:rsidRDefault="002C2DFA">
            <w:r>
              <w:t xml:space="preserve">Afin de garder la même structuration du conseil d’administration, des comités régionaux sont créés rassemblant tous les adhérents d’une région pour élire leur </w:t>
            </w:r>
            <w:r>
              <w:lastRenderedPageBreak/>
              <w:t>représentant au sein du conseil d’administration.</w:t>
            </w:r>
          </w:p>
          <w:p w14:paraId="2DD70093" w14:textId="77777777" w:rsidR="002C2DFA" w:rsidRDefault="002C2DFA"/>
          <w:p w14:paraId="425DA0E4" w14:textId="650E3695" w:rsidR="002C2DFA" w:rsidRDefault="002C2DFA">
            <w:r>
              <w:t>Quand une Afac régionale existe elle tient l</w:t>
            </w:r>
            <w:r w:rsidR="0058552A">
              <w:t>e</w:t>
            </w:r>
            <w:r>
              <w:t xml:space="preserve"> rôle de comité régional.</w:t>
            </w:r>
          </w:p>
        </w:tc>
      </w:tr>
      <w:tr w:rsidR="002C2DFA" w14:paraId="0E2CDD7A" w14:textId="77777777" w:rsidTr="002C2DFA">
        <w:tc>
          <w:tcPr>
            <w:tcW w:w="2034" w:type="dxa"/>
          </w:tcPr>
          <w:p w14:paraId="3EB476CB" w14:textId="75CCF9A5" w:rsidR="002C2DFA" w:rsidRDefault="002C2DFA">
            <w:pPr>
              <w:rPr>
                <w:rFonts w:ascii="CIDFont+F3" w:hAnsi="CIDFont+F3" w:cs="CIDFont+F3"/>
                <w:sz w:val="21"/>
                <w:szCs w:val="21"/>
              </w:rPr>
            </w:pPr>
            <w:r>
              <w:rPr>
                <w:rFonts w:ascii="CIDFont+F3" w:hAnsi="CIDFont+F3" w:cs="CIDFont+F3"/>
                <w:sz w:val="21"/>
                <w:szCs w:val="21"/>
              </w:rPr>
              <w:lastRenderedPageBreak/>
              <w:t>Article 14 : comités régionaux</w:t>
            </w:r>
          </w:p>
        </w:tc>
        <w:tc>
          <w:tcPr>
            <w:tcW w:w="4375" w:type="dxa"/>
          </w:tcPr>
          <w:p w14:paraId="2C3E11D4" w14:textId="77777777" w:rsidR="002C2DFA" w:rsidRDefault="002C2DFA" w:rsidP="002C2DFA">
            <w:pPr>
              <w:autoSpaceDE w:val="0"/>
              <w:autoSpaceDN w:val="0"/>
              <w:adjustRightInd w:val="0"/>
              <w:rPr>
                <w:rFonts w:ascii="CIDFont+F2" w:hAnsi="CIDFont+F2" w:cs="CIDFont+F2"/>
                <w:sz w:val="21"/>
                <w:szCs w:val="21"/>
              </w:rPr>
            </w:pPr>
          </w:p>
        </w:tc>
        <w:tc>
          <w:tcPr>
            <w:tcW w:w="4382" w:type="dxa"/>
          </w:tcPr>
          <w:p w14:paraId="459A6A8F" w14:textId="6D50E105" w:rsidR="002C2DFA" w:rsidRDefault="002C2DFA" w:rsidP="002C2DFA">
            <w:pPr>
              <w:pBdr>
                <w:top w:val="nil"/>
                <w:left w:val="nil"/>
                <w:bottom w:val="nil"/>
                <w:right w:val="nil"/>
                <w:between w:val="nil"/>
              </w:pBdr>
              <w:ind w:right="-36"/>
              <w:rPr>
                <w:rFonts w:ascii="Source Sans Pro" w:hAnsi="Source Sans Pro"/>
                <w:color w:val="000000"/>
              </w:rPr>
            </w:pPr>
            <w:r>
              <w:rPr>
                <w:rFonts w:ascii="Source Sans Pro" w:hAnsi="Source Sans Pro"/>
                <w:color w:val="000000"/>
              </w:rPr>
              <w:t>Les comités régionaux, non dotés de la personnalité morale, regroupent tous les membres issus de la même région entendue comme l’une des 13 régions administratives de métropole française.</w:t>
            </w:r>
          </w:p>
          <w:p w14:paraId="4FF6D879" w14:textId="77777777" w:rsidR="002C2DFA" w:rsidRDefault="002C2DFA" w:rsidP="002C2DFA">
            <w:pPr>
              <w:pBdr>
                <w:top w:val="nil"/>
                <w:left w:val="nil"/>
                <w:bottom w:val="nil"/>
                <w:right w:val="nil"/>
                <w:between w:val="nil"/>
              </w:pBdr>
              <w:ind w:right="-36"/>
              <w:rPr>
                <w:rFonts w:ascii="Source Sans Pro" w:hAnsi="Source Sans Pro"/>
                <w:color w:val="000000"/>
              </w:rPr>
            </w:pPr>
          </w:p>
          <w:p w14:paraId="4BDB82B5" w14:textId="77777777" w:rsidR="002C2DFA" w:rsidRDefault="002C2DFA" w:rsidP="002C2DFA">
            <w:pPr>
              <w:pBdr>
                <w:top w:val="nil"/>
                <w:left w:val="nil"/>
                <w:bottom w:val="nil"/>
                <w:right w:val="nil"/>
                <w:between w:val="nil"/>
              </w:pBdr>
              <w:ind w:right="-36"/>
              <w:rPr>
                <w:rFonts w:ascii="Source Sans Pro" w:hAnsi="Source Sans Pro"/>
                <w:color w:val="000000"/>
              </w:rPr>
            </w:pPr>
            <w:r w:rsidRPr="00D91DC3">
              <w:rPr>
                <w:rFonts w:ascii="Source Sans Pro" w:hAnsi="Source Sans Pro"/>
                <w:color w:val="000000"/>
              </w:rPr>
              <w:t>Les comités régionaux constituent l’échelon de mise en œuvre de la mission de l’association. Ils sont composés des structures, personnes morales, qui mènent des actions sur l’arbre dans les territoires définis à l’article 3 des présents statuts.</w:t>
            </w:r>
          </w:p>
          <w:p w14:paraId="3F32310C" w14:textId="77777777" w:rsidR="002C2DFA" w:rsidRDefault="002C2DFA" w:rsidP="002C2DFA">
            <w:pPr>
              <w:pBdr>
                <w:top w:val="nil"/>
                <w:left w:val="nil"/>
                <w:bottom w:val="nil"/>
                <w:right w:val="nil"/>
                <w:between w:val="nil"/>
              </w:pBdr>
              <w:ind w:right="-36"/>
              <w:rPr>
                <w:rFonts w:ascii="Source Sans Pro" w:hAnsi="Source Sans Pro"/>
                <w:color w:val="000000"/>
              </w:rPr>
            </w:pPr>
          </w:p>
          <w:p w14:paraId="0390644B" w14:textId="77777777" w:rsidR="002C2DFA" w:rsidRPr="00D91DC3" w:rsidRDefault="002C2DFA" w:rsidP="002C2DFA">
            <w:pPr>
              <w:pBdr>
                <w:top w:val="nil"/>
                <w:left w:val="nil"/>
                <w:bottom w:val="nil"/>
                <w:right w:val="nil"/>
                <w:between w:val="nil"/>
              </w:pBdr>
              <w:ind w:right="-36"/>
              <w:rPr>
                <w:rFonts w:ascii="Source Sans Pro" w:hAnsi="Source Sans Pro"/>
                <w:color w:val="000000"/>
              </w:rPr>
            </w:pPr>
            <w:r w:rsidRPr="00D91DC3">
              <w:rPr>
                <w:rFonts w:ascii="Source Sans Pro" w:hAnsi="Source Sans Pro"/>
                <w:color w:val="000000"/>
              </w:rPr>
              <w:t xml:space="preserve">Chaque comité </w:t>
            </w:r>
            <w:r>
              <w:rPr>
                <w:rFonts w:ascii="Source Sans Pro" w:hAnsi="Source Sans Pro"/>
                <w:color w:val="000000"/>
              </w:rPr>
              <w:t xml:space="preserve">régional </w:t>
            </w:r>
            <w:r w:rsidRPr="00D91DC3">
              <w:rPr>
                <w:rFonts w:ascii="Source Sans Pro" w:hAnsi="Source Sans Pro"/>
                <w:color w:val="000000"/>
              </w:rPr>
              <w:t xml:space="preserve">est animé par </w:t>
            </w:r>
            <w:r>
              <w:rPr>
                <w:rFonts w:ascii="Source Sans Pro" w:hAnsi="Source Sans Pro"/>
                <w:color w:val="000000"/>
              </w:rPr>
              <w:t>l’administrateur délégué régional et son suppléant élus par et parmi les membres des comités régionaux réunis en assemblée générale.</w:t>
            </w:r>
          </w:p>
          <w:p w14:paraId="556436EF" w14:textId="77777777" w:rsidR="002C2DFA" w:rsidRDefault="002C2DFA" w:rsidP="002C2DFA">
            <w:pPr>
              <w:pStyle w:val="Commentaire"/>
            </w:pPr>
          </w:p>
          <w:p w14:paraId="009C56AE" w14:textId="77777777" w:rsidR="002C2DFA" w:rsidRPr="00D91DC3" w:rsidRDefault="002C2DFA" w:rsidP="002C2DFA">
            <w:pPr>
              <w:pStyle w:val="Commentaire"/>
              <w:rPr>
                <w:rFonts w:ascii="Source Sans Pro" w:hAnsi="Source Sans Pro"/>
                <w:color w:val="000000"/>
                <w:sz w:val="22"/>
                <w:szCs w:val="22"/>
              </w:rPr>
            </w:pPr>
            <w:r w:rsidRPr="00D91DC3">
              <w:rPr>
                <w:rFonts w:ascii="Source Sans Pro" w:hAnsi="Source Sans Pro"/>
                <w:color w:val="000000"/>
                <w:sz w:val="22"/>
                <w:szCs w:val="22"/>
              </w:rPr>
              <w:t>Les modalités de fonctionnement des comités sont définies par le règlement intérieur.</w:t>
            </w:r>
          </w:p>
          <w:p w14:paraId="643EC1D0" w14:textId="77777777" w:rsidR="002C2DFA" w:rsidRDefault="002C2DFA" w:rsidP="002C2DFA">
            <w:pPr>
              <w:pBdr>
                <w:top w:val="nil"/>
                <w:left w:val="nil"/>
                <w:bottom w:val="nil"/>
                <w:right w:val="nil"/>
                <w:between w:val="nil"/>
              </w:pBdr>
              <w:ind w:right="-36"/>
              <w:rPr>
                <w:rFonts w:ascii="Source Sans Pro" w:hAnsi="Source Sans Pro"/>
                <w:color w:val="000000"/>
              </w:rPr>
            </w:pPr>
          </w:p>
        </w:tc>
        <w:tc>
          <w:tcPr>
            <w:tcW w:w="4094" w:type="dxa"/>
            <w:vMerge/>
          </w:tcPr>
          <w:p w14:paraId="569E338F" w14:textId="77777777" w:rsidR="002C2DFA" w:rsidRDefault="002C2DFA"/>
        </w:tc>
      </w:tr>
    </w:tbl>
    <w:p w14:paraId="7F88CFFE" w14:textId="038216FD" w:rsidR="00052BC3" w:rsidRDefault="00052BC3" w:rsidP="00052BC3"/>
    <w:sectPr w:rsidR="00052BC3" w:rsidSect="00AC728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E63BE"/>
    <w:multiLevelType w:val="hybridMultilevel"/>
    <w:tmpl w:val="86FE25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5246F6D"/>
    <w:multiLevelType w:val="hybridMultilevel"/>
    <w:tmpl w:val="297020DA"/>
    <w:lvl w:ilvl="0" w:tplc="99C6C6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F43FAA"/>
    <w:multiLevelType w:val="hybridMultilevel"/>
    <w:tmpl w:val="328C6ED2"/>
    <w:lvl w:ilvl="0" w:tplc="F8DC92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7704977">
    <w:abstractNumId w:val="1"/>
  </w:num>
  <w:num w:numId="2" w16cid:durableId="1963487929">
    <w:abstractNumId w:val="0"/>
  </w:num>
  <w:num w:numId="3" w16cid:durableId="128129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C3"/>
    <w:rsid w:val="00052BC3"/>
    <w:rsid w:val="000D406D"/>
    <w:rsid w:val="002C2DFA"/>
    <w:rsid w:val="0031276A"/>
    <w:rsid w:val="0058552A"/>
    <w:rsid w:val="005A0F57"/>
    <w:rsid w:val="007448D5"/>
    <w:rsid w:val="00812ABF"/>
    <w:rsid w:val="00AC728D"/>
    <w:rsid w:val="00B00EEC"/>
    <w:rsid w:val="00C612EE"/>
    <w:rsid w:val="00D95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5D75"/>
  <w15:chartTrackingRefBased/>
  <w15:docId w15:val="{E2972A60-1CB6-4829-A967-60263D2D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52BC3"/>
    <w:pPr>
      <w:widowControl w:val="0"/>
      <w:spacing w:after="0" w:line="240" w:lineRule="auto"/>
      <w:ind w:left="117" w:right="448"/>
      <w:jc w:val="center"/>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vrables"/>
    <w:basedOn w:val="Normal"/>
    <w:uiPriority w:val="34"/>
    <w:qFormat/>
    <w:rsid w:val="00052BC3"/>
    <w:pPr>
      <w:ind w:left="720"/>
      <w:contextualSpacing/>
    </w:pPr>
  </w:style>
  <w:style w:type="table" w:styleId="Grilledutableau">
    <w:name w:val="Table Grid"/>
    <w:basedOn w:val="TableauNormal"/>
    <w:uiPriority w:val="39"/>
    <w:rsid w:val="00052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52BC3"/>
    <w:rPr>
      <w:rFonts w:ascii="Times New Roman" w:eastAsia="Times New Roman" w:hAnsi="Times New Roman" w:cs="Times New Roman"/>
      <w:b/>
      <w:bCs/>
      <w:sz w:val="24"/>
      <w:szCs w:val="24"/>
      <w:lang w:eastAsia="fr-FR"/>
    </w:rPr>
  </w:style>
  <w:style w:type="paragraph" w:styleId="Commentaire">
    <w:name w:val="annotation text"/>
    <w:basedOn w:val="Normal"/>
    <w:link w:val="CommentaireCar"/>
    <w:unhideWhenUsed/>
    <w:rsid w:val="002C2DFA"/>
    <w:pPr>
      <w:widowControl w:val="0"/>
      <w:spacing w:after="0" w:line="240" w:lineRule="auto"/>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2C2DFA"/>
    <w:rPr>
      <w:rFonts w:ascii="Times New Roman" w:eastAsia="Times New Roman" w:hAnsi="Times New Roman" w:cs="Times New Roman"/>
      <w:sz w:val="20"/>
      <w:szCs w:val="20"/>
      <w:lang w:eastAsia="fr-FR"/>
    </w:rPr>
  </w:style>
  <w:style w:type="paragraph" w:styleId="Rvision">
    <w:name w:val="Revision"/>
    <w:hidden/>
    <w:uiPriority w:val="99"/>
    <w:semiHidden/>
    <w:rsid w:val="00C612EE"/>
    <w:pPr>
      <w:spacing w:after="0" w:line="240" w:lineRule="auto"/>
    </w:pPr>
  </w:style>
  <w:style w:type="character" w:styleId="Marquedecommentaire">
    <w:name w:val="annotation reference"/>
    <w:basedOn w:val="Policepardfaut"/>
    <w:uiPriority w:val="99"/>
    <w:semiHidden/>
    <w:unhideWhenUsed/>
    <w:rsid w:val="00812ABF"/>
    <w:rPr>
      <w:sz w:val="16"/>
      <w:szCs w:val="16"/>
    </w:rPr>
  </w:style>
  <w:style w:type="paragraph" w:styleId="Objetducommentaire">
    <w:name w:val="annotation subject"/>
    <w:basedOn w:val="Commentaire"/>
    <w:next w:val="Commentaire"/>
    <w:link w:val="ObjetducommentaireCar"/>
    <w:uiPriority w:val="99"/>
    <w:semiHidden/>
    <w:unhideWhenUsed/>
    <w:rsid w:val="00812ABF"/>
    <w:pPr>
      <w:widowControl/>
      <w:spacing w:after="160"/>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812AB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aa46ea-af3d-4001-8e3b-331e22b52c8a">
      <Terms xmlns="http://schemas.microsoft.com/office/infopath/2007/PartnerControls"/>
    </lcf76f155ced4ddcb4097134ff3c332f>
    <TaxCatchAll xmlns="85a5d83a-ca5f-4e82-a15a-e7137a3623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7F2F519D48ED499CE6ACF9774B650E" ma:contentTypeVersion="18" ma:contentTypeDescription="Crée un document." ma:contentTypeScope="" ma:versionID="9b664059362bcebc9ec2c8b3de0f9d80">
  <xsd:schema xmlns:xsd="http://www.w3.org/2001/XMLSchema" xmlns:xs="http://www.w3.org/2001/XMLSchema" xmlns:p="http://schemas.microsoft.com/office/2006/metadata/properties" xmlns:ns2="3daa46ea-af3d-4001-8e3b-331e22b52c8a" xmlns:ns3="85a5d83a-ca5f-4e82-a15a-e7137a362387" targetNamespace="http://schemas.microsoft.com/office/2006/metadata/properties" ma:root="true" ma:fieldsID="401a4f20f44c8a661a63ba2a874a4ff7" ns2:_="" ns3:_="">
    <xsd:import namespace="3daa46ea-af3d-4001-8e3b-331e22b52c8a"/>
    <xsd:import namespace="85a5d83a-ca5f-4e82-a15a-e7137a3623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46ea-af3d-4001-8e3b-331e22b5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dea0c76-54e0-44b6-9368-bd29acc106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a5d83a-ca5f-4e82-a15a-e7137a3623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8fa5530-da48-464e-9601-01b68a528422}" ma:internalName="TaxCatchAll" ma:showField="CatchAllData" ma:web="85a5d83a-ca5f-4e82-a15a-e7137a36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3AB7E-2EDD-403A-B61C-9C7A1A9F91BE}">
  <ds:schemaRefs>
    <ds:schemaRef ds:uri="http://schemas.microsoft.com/sharepoint/v3/contenttype/forms"/>
  </ds:schemaRefs>
</ds:datastoreItem>
</file>

<file path=customXml/itemProps2.xml><?xml version="1.0" encoding="utf-8"?>
<ds:datastoreItem xmlns:ds="http://schemas.openxmlformats.org/officeDocument/2006/customXml" ds:itemID="{4BA7E6FB-49AF-4ABE-A4AE-47887339F528}">
  <ds:schemaRefs>
    <ds:schemaRef ds:uri="http://schemas.microsoft.com/office/2006/metadata/properties"/>
    <ds:schemaRef ds:uri="http://schemas.microsoft.com/office/infopath/2007/PartnerControls"/>
    <ds:schemaRef ds:uri="3daa46ea-af3d-4001-8e3b-331e22b52c8a"/>
    <ds:schemaRef ds:uri="85a5d83a-ca5f-4e82-a15a-e7137a362387"/>
  </ds:schemaRefs>
</ds:datastoreItem>
</file>

<file path=customXml/itemProps3.xml><?xml version="1.0" encoding="utf-8"?>
<ds:datastoreItem xmlns:ds="http://schemas.openxmlformats.org/officeDocument/2006/customXml" ds:itemID="{09D92B3D-D691-4462-B828-677C68EA4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46ea-af3d-4001-8e3b-331e22b52c8a"/>
    <ds:schemaRef ds:uri="85a5d83a-ca5f-4e82-a15a-e7137a36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Moret</dc:creator>
  <cp:keywords/>
  <dc:description/>
  <cp:lastModifiedBy>Catherine Moret</cp:lastModifiedBy>
  <cp:revision>2</cp:revision>
  <dcterms:created xsi:type="dcterms:W3CDTF">2022-11-17T18:13:00Z</dcterms:created>
  <dcterms:modified xsi:type="dcterms:W3CDTF">2022-11-17T18:13:00Z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0x0101003A7F2F519D48ED499CE6ACF9774B650E</vt:lpwstr>
  </property>
  <property fmtid="{D5CDD505-2E9C-101B-9397-08002B2CF9AE}" pid="3" name="MediaServiceImageTags">
    <vt:lpwstr/>
  </property>
</Properties>
</file>